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405E2">
      <w:pPr>
        <w:spacing w:line="360" w:lineRule="auto"/>
        <w:jc w:val="center"/>
        <w:rPr>
          <w:rFonts w:hint="eastAsia" w:ascii="Times New Roman" w:hAnsi="Times New Roman" w:eastAsia="黑体" w:cs="Times New Roman"/>
          <w:sz w:val="36"/>
          <w:szCs w:val="36"/>
        </w:rPr>
      </w:pPr>
      <w:r>
        <w:rPr>
          <w:rFonts w:hint="eastAsia" w:ascii="Times New Roman" w:hAnsi="Times New Roman" w:eastAsia="黑体" w:cs="Times New Roman"/>
          <w:sz w:val="36"/>
          <w:szCs w:val="36"/>
          <w:lang w:val="en-US" w:eastAsia="zh-CN"/>
        </w:rPr>
        <w:t>电铲</w:t>
      </w:r>
      <w:r>
        <w:rPr>
          <w:rFonts w:ascii="Times New Roman" w:hAnsi="Times New Roman" w:eastAsia="黑体" w:cs="Times New Roman"/>
          <w:sz w:val="36"/>
          <w:szCs w:val="36"/>
        </w:rPr>
        <w:t>EST1030改造</w:t>
      </w:r>
      <w:r>
        <w:rPr>
          <w:rFonts w:hint="eastAsia" w:ascii="Times New Roman" w:hAnsi="Times New Roman" w:eastAsia="黑体" w:cs="Times New Roman"/>
          <w:sz w:val="36"/>
          <w:szCs w:val="36"/>
          <w:lang w:val="en-US" w:eastAsia="zh-CN"/>
        </w:rPr>
        <w:t>油铲</w:t>
      </w:r>
      <w:r>
        <w:rPr>
          <w:rFonts w:ascii="Times New Roman" w:hAnsi="Times New Roman" w:eastAsia="黑体" w:cs="Times New Roman"/>
          <w:sz w:val="36"/>
          <w:szCs w:val="36"/>
        </w:rPr>
        <w:t>ST1030技术</w:t>
      </w:r>
      <w:r>
        <w:rPr>
          <w:rFonts w:hint="eastAsia" w:ascii="Times New Roman" w:hAnsi="Times New Roman" w:eastAsia="黑体" w:cs="Times New Roman"/>
          <w:sz w:val="36"/>
          <w:szCs w:val="36"/>
        </w:rPr>
        <w:t>要求</w:t>
      </w:r>
    </w:p>
    <w:p w14:paraId="732282B8">
      <w:pPr>
        <w:spacing w:line="360" w:lineRule="auto"/>
        <w:jc w:val="center"/>
        <w:rPr>
          <w:rFonts w:ascii="Times New Roman" w:hAnsi="Times New Roman" w:eastAsia="黑体" w:cs="Times New Roman"/>
          <w:sz w:val="36"/>
          <w:szCs w:val="36"/>
        </w:rPr>
      </w:pPr>
      <w:bookmarkStart w:id="0" w:name="_GoBack"/>
      <w:bookmarkEnd w:id="0"/>
    </w:p>
    <w:p w14:paraId="0DFDC1F6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一、工程概况</w:t>
      </w:r>
    </w:p>
    <w:p w14:paraId="4B9758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textAlignment w:val="auto"/>
        <w:rPr>
          <w:rFonts w:ascii="Times New Roman" w:hAnsi="Times New Roman" w:eastAsia="宋体" w:cs="Times New Roman"/>
          <w:sz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甲供给湖南涟邵的14台铲运机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4台电铲，10台油铲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需至少8台4m³柴油铲运机同时作业。现有柴油铲运机普遍老化、可动率下降，3台主力油铲已到大修期却无法安排停机检修，且有3台EST1030电铲因溜井条件限制长期闲置。为保障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公司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2026年400万吨出矿量任务，为盘活资产、补充备用设备，保障生产连续并落实设备全寿命周期管理，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需要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对2台甲供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设备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EST1030电铲改油铲。</w:t>
      </w:r>
    </w:p>
    <w:p w14:paraId="29BE0F5A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二、设备改造范围及要求</w:t>
      </w:r>
    </w:p>
    <w:p w14:paraId="7B5FA8B6">
      <w:pPr>
        <w:spacing w:line="360" w:lineRule="auto"/>
        <w:rPr>
          <w:rFonts w:ascii="Times New Roman" w:hAnsi="Times New Roman" w:eastAsia="宋体" w:cs="Times New Roman"/>
          <w:color w:val="auto"/>
          <w:sz w:val="24"/>
        </w:rPr>
      </w:pPr>
      <w:r>
        <w:rPr>
          <w:rFonts w:ascii="Times New Roman" w:hAnsi="Times New Roman" w:eastAsia="宋体" w:cs="Times New Roman"/>
          <w:sz w:val="24"/>
        </w:rPr>
        <w:t>2.1 改造范围</w:t>
      </w:r>
    </w:p>
    <w:p w14:paraId="1FD85717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color w:val="auto"/>
          <w:sz w:val="24"/>
        </w:rPr>
        <w:t>本次改造</w:t>
      </w:r>
      <w:r>
        <w:rPr>
          <w:rFonts w:hint="eastAsia" w:ascii="Times New Roman" w:hAnsi="Times New Roman" w:eastAsia="宋体" w:cs="Times New Roman"/>
          <w:color w:val="auto"/>
          <w:sz w:val="24"/>
        </w:rPr>
        <w:t>涉及现存</w:t>
      </w:r>
      <w:r>
        <w:rPr>
          <w:rFonts w:ascii="Times New Roman" w:hAnsi="Times New Roman" w:eastAsia="宋体" w:cs="Times New Roman"/>
          <w:color w:val="auto"/>
          <w:sz w:val="24"/>
        </w:rPr>
        <w:t>设备EST1030两台，累计工作时间</w:t>
      </w:r>
      <w:r>
        <w:rPr>
          <w:rFonts w:hint="eastAsia" w:ascii="Times New Roman" w:hAnsi="Times New Roman" w:eastAsia="宋体" w:cs="Times New Roman"/>
          <w:color w:val="auto"/>
          <w:sz w:val="24"/>
          <w:lang w:val="en-US" w:eastAsia="zh-CN"/>
        </w:rPr>
        <w:t>1000-3000h</w:t>
      </w:r>
      <w:r>
        <w:rPr>
          <w:rFonts w:ascii="Times New Roman" w:hAnsi="Times New Roman" w:eastAsia="宋体" w:cs="Times New Roman"/>
          <w:sz w:val="24"/>
        </w:rPr>
        <w:t>不等，改造后设备使用性能与ST1030一致。</w:t>
      </w:r>
    </w:p>
    <w:p w14:paraId="4991C254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 xml:space="preserve">2.2 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单台</w:t>
      </w:r>
      <w:r>
        <w:rPr>
          <w:rFonts w:ascii="Times New Roman" w:hAnsi="Times New Roman" w:eastAsia="宋体" w:cs="Times New Roman"/>
          <w:sz w:val="24"/>
        </w:rPr>
        <w:t>改造主要备件明细清单如下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2"/>
        <w:gridCol w:w="2295"/>
        <w:gridCol w:w="1080"/>
        <w:gridCol w:w="1125"/>
        <w:gridCol w:w="1350"/>
      </w:tblGrid>
      <w:tr w14:paraId="53504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77D8FA76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件  号</w:t>
            </w:r>
          </w:p>
        </w:tc>
        <w:tc>
          <w:tcPr>
            <w:tcW w:w="2295" w:type="dxa"/>
            <w:vAlign w:val="center"/>
          </w:tcPr>
          <w:p w14:paraId="5A0D7AED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名  称</w:t>
            </w:r>
          </w:p>
        </w:tc>
        <w:tc>
          <w:tcPr>
            <w:tcW w:w="1080" w:type="dxa"/>
            <w:vAlign w:val="center"/>
          </w:tcPr>
          <w:p w14:paraId="5231ABE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单位</w:t>
            </w:r>
          </w:p>
        </w:tc>
        <w:tc>
          <w:tcPr>
            <w:tcW w:w="1125" w:type="dxa"/>
            <w:vAlign w:val="center"/>
          </w:tcPr>
          <w:p w14:paraId="569C22D8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数量</w:t>
            </w:r>
          </w:p>
        </w:tc>
        <w:tc>
          <w:tcPr>
            <w:tcW w:w="1350" w:type="dxa"/>
            <w:vAlign w:val="center"/>
          </w:tcPr>
          <w:p w14:paraId="3EF18A37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备注</w:t>
            </w:r>
          </w:p>
        </w:tc>
      </w:tr>
      <w:tr w14:paraId="33CA9B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48C113B6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5580 0300 66</w:t>
            </w:r>
          </w:p>
        </w:tc>
        <w:tc>
          <w:tcPr>
            <w:tcW w:w="2295" w:type="dxa"/>
            <w:vAlign w:val="center"/>
          </w:tcPr>
          <w:p w14:paraId="321DF93F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动力车架（后车架）</w:t>
            </w:r>
          </w:p>
        </w:tc>
        <w:tc>
          <w:tcPr>
            <w:tcW w:w="1080" w:type="dxa"/>
            <w:vAlign w:val="center"/>
          </w:tcPr>
          <w:p w14:paraId="42EFAE58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件</w:t>
            </w:r>
          </w:p>
        </w:tc>
        <w:tc>
          <w:tcPr>
            <w:tcW w:w="1125" w:type="dxa"/>
            <w:vAlign w:val="center"/>
          </w:tcPr>
          <w:p w14:paraId="00003240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22947148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更换/改造</w:t>
            </w:r>
          </w:p>
        </w:tc>
      </w:tr>
      <w:tr w14:paraId="3A6AC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7EB08BBA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5574 7246 00</w:t>
            </w:r>
          </w:p>
        </w:tc>
        <w:tc>
          <w:tcPr>
            <w:tcW w:w="2295" w:type="dxa"/>
            <w:vAlign w:val="center"/>
          </w:tcPr>
          <w:p w14:paraId="55ED521C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燃油箱总成</w:t>
            </w:r>
          </w:p>
        </w:tc>
        <w:tc>
          <w:tcPr>
            <w:tcW w:w="1080" w:type="dxa"/>
            <w:vAlign w:val="center"/>
          </w:tcPr>
          <w:p w14:paraId="0C73D99C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件</w:t>
            </w:r>
          </w:p>
        </w:tc>
        <w:tc>
          <w:tcPr>
            <w:tcW w:w="1125" w:type="dxa"/>
            <w:vAlign w:val="center"/>
          </w:tcPr>
          <w:p w14:paraId="536FFC8E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0A38A6FC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增加</w:t>
            </w:r>
          </w:p>
        </w:tc>
      </w:tr>
      <w:tr w14:paraId="2256F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2E099DDC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5580 0254 03</w:t>
            </w:r>
          </w:p>
        </w:tc>
        <w:tc>
          <w:tcPr>
            <w:tcW w:w="2295" w:type="dxa"/>
            <w:vAlign w:val="center"/>
          </w:tcPr>
          <w:p w14:paraId="41F9D54B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柴油发动机</w:t>
            </w:r>
          </w:p>
        </w:tc>
        <w:tc>
          <w:tcPr>
            <w:tcW w:w="1080" w:type="dxa"/>
            <w:vAlign w:val="center"/>
          </w:tcPr>
          <w:p w14:paraId="287865F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件</w:t>
            </w:r>
          </w:p>
        </w:tc>
        <w:tc>
          <w:tcPr>
            <w:tcW w:w="1125" w:type="dxa"/>
            <w:vAlign w:val="center"/>
          </w:tcPr>
          <w:p w14:paraId="2DEC14F6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54ECFA9B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增加</w:t>
            </w:r>
          </w:p>
        </w:tc>
      </w:tr>
      <w:tr w14:paraId="31E8B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7CB39B5C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5580 0074 91</w:t>
            </w:r>
          </w:p>
        </w:tc>
        <w:tc>
          <w:tcPr>
            <w:tcW w:w="2295" w:type="dxa"/>
            <w:vAlign w:val="center"/>
          </w:tcPr>
          <w:p w14:paraId="115C0A0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进气系统</w:t>
            </w:r>
          </w:p>
        </w:tc>
        <w:tc>
          <w:tcPr>
            <w:tcW w:w="1080" w:type="dxa"/>
            <w:vAlign w:val="center"/>
          </w:tcPr>
          <w:p w14:paraId="12F8FD05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套</w:t>
            </w:r>
          </w:p>
        </w:tc>
        <w:tc>
          <w:tcPr>
            <w:tcW w:w="1125" w:type="dxa"/>
            <w:vAlign w:val="center"/>
          </w:tcPr>
          <w:p w14:paraId="750F59D1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68F59F2F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增加</w:t>
            </w:r>
          </w:p>
        </w:tc>
      </w:tr>
      <w:tr w14:paraId="04C41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48922A3F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5580 0286 70</w:t>
            </w:r>
          </w:p>
        </w:tc>
        <w:tc>
          <w:tcPr>
            <w:tcW w:w="2295" w:type="dxa"/>
            <w:vAlign w:val="center"/>
          </w:tcPr>
          <w:p w14:paraId="2A6B7BA5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排气系统</w:t>
            </w:r>
          </w:p>
        </w:tc>
        <w:tc>
          <w:tcPr>
            <w:tcW w:w="1080" w:type="dxa"/>
            <w:vAlign w:val="center"/>
          </w:tcPr>
          <w:p w14:paraId="78732AB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套</w:t>
            </w:r>
          </w:p>
        </w:tc>
        <w:tc>
          <w:tcPr>
            <w:tcW w:w="1125" w:type="dxa"/>
            <w:vAlign w:val="center"/>
          </w:tcPr>
          <w:p w14:paraId="753B0DD7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758EDD13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增加</w:t>
            </w:r>
          </w:p>
        </w:tc>
      </w:tr>
      <w:tr w14:paraId="0293F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71E7885D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5580 0047 66</w:t>
            </w:r>
          </w:p>
        </w:tc>
        <w:tc>
          <w:tcPr>
            <w:tcW w:w="2295" w:type="dxa"/>
            <w:vAlign w:val="center"/>
          </w:tcPr>
          <w:p w14:paraId="5A675D28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散热器（水散）</w:t>
            </w:r>
          </w:p>
        </w:tc>
        <w:tc>
          <w:tcPr>
            <w:tcW w:w="1080" w:type="dxa"/>
            <w:vAlign w:val="center"/>
          </w:tcPr>
          <w:p w14:paraId="4A6DADA8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件</w:t>
            </w:r>
          </w:p>
        </w:tc>
        <w:tc>
          <w:tcPr>
            <w:tcW w:w="1125" w:type="dxa"/>
            <w:vAlign w:val="center"/>
          </w:tcPr>
          <w:p w14:paraId="6CABF5F9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1C083989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增加</w:t>
            </w:r>
          </w:p>
        </w:tc>
      </w:tr>
      <w:tr w14:paraId="26517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022F1EA5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5575 6257 00</w:t>
            </w:r>
          </w:p>
        </w:tc>
        <w:tc>
          <w:tcPr>
            <w:tcW w:w="2295" w:type="dxa"/>
            <w:vAlign w:val="center"/>
          </w:tcPr>
          <w:p w14:paraId="64B76480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补水箱</w:t>
            </w:r>
          </w:p>
        </w:tc>
        <w:tc>
          <w:tcPr>
            <w:tcW w:w="1080" w:type="dxa"/>
            <w:vAlign w:val="center"/>
          </w:tcPr>
          <w:p w14:paraId="6A977B0D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件</w:t>
            </w:r>
          </w:p>
        </w:tc>
        <w:tc>
          <w:tcPr>
            <w:tcW w:w="1125" w:type="dxa"/>
            <w:vAlign w:val="center"/>
          </w:tcPr>
          <w:p w14:paraId="5058A43F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73A1EEC2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增加</w:t>
            </w:r>
          </w:p>
        </w:tc>
      </w:tr>
      <w:tr w14:paraId="300D6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1EFE4384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5580 0054 52</w:t>
            </w:r>
          </w:p>
        </w:tc>
        <w:tc>
          <w:tcPr>
            <w:tcW w:w="2295" w:type="dxa"/>
            <w:vAlign w:val="center"/>
          </w:tcPr>
          <w:p w14:paraId="1B70F0A1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增高箱（齿轮箱）</w:t>
            </w:r>
          </w:p>
        </w:tc>
        <w:tc>
          <w:tcPr>
            <w:tcW w:w="1080" w:type="dxa"/>
            <w:vAlign w:val="center"/>
          </w:tcPr>
          <w:p w14:paraId="56CC0383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件</w:t>
            </w:r>
          </w:p>
        </w:tc>
        <w:tc>
          <w:tcPr>
            <w:tcW w:w="1125" w:type="dxa"/>
            <w:vAlign w:val="center"/>
          </w:tcPr>
          <w:p w14:paraId="6BAFAD2D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4D938977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增加</w:t>
            </w:r>
          </w:p>
        </w:tc>
      </w:tr>
      <w:tr w14:paraId="79E4C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0D19C003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5580 1033 96</w:t>
            </w:r>
          </w:p>
        </w:tc>
        <w:tc>
          <w:tcPr>
            <w:tcW w:w="2295" w:type="dxa"/>
            <w:vAlign w:val="center"/>
          </w:tcPr>
          <w:p w14:paraId="2FE7DD20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变速箱</w:t>
            </w:r>
          </w:p>
        </w:tc>
        <w:tc>
          <w:tcPr>
            <w:tcW w:w="1080" w:type="dxa"/>
            <w:vAlign w:val="center"/>
          </w:tcPr>
          <w:p w14:paraId="6D1AEAA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件</w:t>
            </w:r>
          </w:p>
        </w:tc>
        <w:tc>
          <w:tcPr>
            <w:tcW w:w="1125" w:type="dxa"/>
            <w:vAlign w:val="center"/>
          </w:tcPr>
          <w:p w14:paraId="3CA88380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27C98AF6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更换/改造</w:t>
            </w:r>
          </w:p>
        </w:tc>
      </w:tr>
      <w:tr w14:paraId="36221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57DE60EC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5580 0278 30</w:t>
            </w:r>
          </w:p>
        </w:tc>
        <w:tc>
          <w:tcPr>
            <w:tcW w:w="2295" w:type="dxa"/>
            <w:vAlign w:val="center"/>
          </w:tcPr>
          <w:p w14:paraId="0939193A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充液阀</w:t>
            </w:r>
          </w:p>
        </w:tc>
        <w:tc>
          <w:tcPr>
            <w:tcW w:w="1080" w:type="dxa"/>
            <w:vAlign w:val="center"/>
          </w:tcPr>
          <w:p w14:paraId="6E89713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件</w:t>
            </w:r>
          </w:p>
        </w:tc>
        <w:tc>
          <w:tcPr>
            <w:tcW w:w="1125" w:type="dxa"/>
            <w:vAlign w:val="center"/>
          </w:tcPr>
          <w:p w14:paraId="29C9AFE3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396D6E02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更换</w:t>
            </w:r>
          </w:p>
        </w:tc>
      </w:tr>
      <w:tr w14:paraId="02763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5480E5ED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5580 0241 64</w:t>
            </w:r>
          </w:p>
        </w:tc>
        <w:tc>
          <w:tcPr>
            <w:tcW w:w="2295" w:type="dxa"/>
            <w:vAlign w:val="center"/>
          </w:tcPr>
          <w:p w14:paraId="70019933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风扇马达</w:t>
            </w:r>
          </w:p>
        </w:tc>
        <w:tc>
          <w:tcPr>
            <w:tcW w:w="1080" w:type="dxa"/>
            <w:vAlign w:val="center"/>
          </w:tcPr>
          <w:p w14:paraId="085F2D25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件</w:t>
            </w:r>
          </w:p>
        </w:tc>
        <w:tc>
          <w:tcPr>
            <w:tcW w:w="1125" w:type="dxa"/>
            <w:vAlign w:val="center"/>
          </w:tcPr>
          <w:p w14:paraId="4653A268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118A51F1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更换</w:t>
            </w:r>
          </w:p>
        </w:tc>
      </w:tr>
      <w:tr w14:paraId="440C7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0CEBA795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5728 0027 95</w:t>
            </w:r>
          </w:p>
        </w:tc>
        <w:tc>
          <w:tcPr>
            <w:tcW w:w="2295" w:type="dxa"/>
            <w:vAlign w:val="center"/>
          </w:tcPr>
          <w:p w14:paraId="4788AA37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散热器（油散）</w:t>
            </w:r>
          </w:p>
        </w:tc>
        <w:tc>
          <w:tcPr>
            <w:tcW w:w="1080" w:type="dxa"/>
            <w:vAlign w:val="center"/>
          </w:tcPr>
          <w:p w14:paraId="60F6DB75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件</w:t>
            </w:r>
          </w:p>
        </w:tc>
        <w:tc>
          <w:tcPr>
            <w:tcW w:w="1125" w:type="dxa"/>
            <w:vAlign w:val="center"/>
          </w:tcPr>
          <w:p w14:paraId="794E001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4066D52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更换</w:t>
            </w:r>
          </w:p>
        </w:tc>
      </w:tr>
      <w:tr w14:paraId="45DB6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2E844A23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5580 1045 70</w:t>
            </w:r>
          </w:p>
        </w:tc>
        <w:tc>
          <w:tcPr>
            <w:tcW w:w="2295" w:type="dxa"/>
            <w:vAlign w:val="center"/>
          </w:tcPr>
          <w:p w14:paraId="241CE520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齿轮泵</w:t>
            </w:r>
          </w:p>
        </w:tc>
        <w:tc>
          <w:tcPr>
            <w:tcW w:w="1080" w:type="dxa"/>
            <w:vAlign w:val="center"/>
          </w:tcPr>
          <w:p w14:paraId="038ED040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件</w:t>
            </w:r>
          </w:p>
        </w:tc>
        <w:tc>
          <w:tcPr>
            <w:tcW w:w="1125" w:type="dxa"/>
            <w:vAlign w:val="center"/>
          </w:tcPr>
          <w:p w14:paraId="18D7CFA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2A457662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更换</w:t>
            </w:r>
          </w:p>
        </w:tc>
      </w:tr>
      <w:tr w14:paraId="29504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0C75733A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5541 0084 00</w:t>
            </w:r>
          </w:p>
        </w:tc>
        <w:tc>
          <w:tcPr>
            <w:tcW w:w="2295" w:type="dxa"/>
            <w:vAlign w:val="center"/>
          </w:tcPr>
          <w:p w14:paraId="10D233F1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双联泵</w:t>
            </w:r>
          </w:p>
        </w:tc>
        <w:tc>
          <w:tcPr>
            <w:tcW w:w="1080" w:type="dxa"/>
            <w:vAlign w:val="center"/>
          </w:tcPr>
          <w:p w14:paraId="6B1F5D0B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件</w:t>
            </w:r>
          </w:p>
        </w:tc>
        <w:tc>
          <w:tcPr>
            <w:tcW w:w="1125" w:type="dxa"/>
            <w:vAlign w:val="center"/>
          </w:tcPr>
          <w:p w14:paraId="2D416D8D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42148C1F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更换</w:t>
            </w:r>
          </w:p>
        </w:tc>
      </w:tr>
      <w:tr w14:paraId="22D3A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0814C508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5580 1033 93</w:t>
            </w:r>
          </w:p>
        </w:tc>
        <w:tc>
          <w:tcPr>
            <w:tcW w:w="2295" w:type="dxa"/>
            <w:vAlign w:val="center"/>
          </w:tcPr>
          <w:p w14:paraId="1FD76A6C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主传动轴</w:t>
            </w:r>
          </w:p>
        </w:tc>
        <w:tc>
          <w:tcPr>
            <w:tcW w:w="1080" w:type="dxa"/>
            <w:vAlign w:val="center"/>
          </w:tcPr>
          <w:p w14:paraId="261A72A6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件</w:t>
            </w:r>
          </w:p>
        </w:tc>
        <w:tc>
          <w:tcPr>
            <w:tcW w:w="1125" w:type="dxa"/>
            <w:vAlign w:val="center"/>
          </w:tcPr>
          <w:p w14:paraId="5FAD13BC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0DDAED70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更换</w:t>
            </w:r>
          </w:p>
        </w:tc>
      </w:tr>
      <w:tr w14:paraId="64D22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2D023BEB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3176 0045 50</w:t>
            </w:r>
          </w:p>
        </w:tc>
        <w:tc>
          <w:tcPr>
            <w:tcW w:w="2295" w:type="dxa"/>
            <w:vAlign w:val="center"/>
          </w:tcPr>
          <w:p w14:paraId="49C17618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PLC</w:t>
            </w:r>
          </w:p>
        </w:tc>
        <w:tc>
          <w:tcPr>
            <w:tcW w:w="1080" w:type="dxa"/>
            <w:vAlign w:val="center"/>
          </w:tcPr>
          <w:p w14:paraId="1DDC5AC0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件</w:t>
            </w:r>
          </w:p>
        </w:tc>
        <w:tc>
          <w:tcPr>
            <w:tcW w:w="1125" w:type="dxa"/>
            <w:vAlign w:val="center"/>
          </w:tcPr>
          <w:p w14:paraId="29923E09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6A62A147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更换</w:t>
            </w:r>
          </w:p>
        </w:tc>
      </w:tr>
      <w:tr w14:paraId="5E48D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532" w:type="dxa"/>
            <w:vAlign w:val="center"/>
          </w:tcPr>
          <w:p w14:paraId="6C6E06A0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5580 0300 62</w:t>
            </w:r>
          </w:p>
        </w:tc>
        <w:tc>
          <w:tcPr>
            <w:tcW w:w="2295" w:type="dxa"/>
            <w:vAlign w:val="center"/>
          </w:tcPr>
          <w:p w14:paraId="540118AB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面板</w:t>
            </w:r>
          </w:p>
        </w:tc>
        <w:tc>
          <w:tcPr>
            <w:tcW w:w="1080" w:type="dxa"/>
            <w:vAlign w:val="center"/>
          </w:tcPr>
          <w:p w14:paraId="491C2B5E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套</w:t>
            </w:r>
          </w:p>
        </w:tc>
        <w:tc>
          <w:tcPr>
            <w:tcW w:w="1125" w:type="dxa"/>
            <w:vAlign w:val="center"/>
          </w:tcPr>
          <w:p w14:paraId="58B8876B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3A2FFEA5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改造</w:t>
            </w:r>
          </w:p>
        </w:tc>
      </w:tr>
      <w:tr w14:paraId="2F107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2AE90A10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5580 1029 60</w:t>
            </w:r>
          </w:p>
        </w:tc>
        <w:tc>
          <w:tcPr>
            <w:tcW w:w="2295" w:type="dxa"/>
            <w:vAlign w:val="center"/>
          </w:tcPr>
          <w:p w14:paraId="4933DDFB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控制面板</w:t>
            </w:r>
          </w:p>
        </w:tc>
        <w:tc>
          <w:tcPr>
            <w:tcW w:w="1080" w:type="dxa"/>
            <w:vAlign w:val="center"/>
          </w:tcPr>
          <w:p w14:paraId="65D7BBAD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套</w:t>
            </w:r>
          </w:p>
        </w:tc>
        <w:tc>
          <w:tcPr>
            <w:tcW w:w="1125" w:type="dxa"/>
            <w:vAlign w:val="center"/>
          </w:tcPr>
          <w:p w14:paraId="2047BF5B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7B84C1EC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改造</w:t>
            </w:r>
          </w:p>
        </w:tc>
      </w:tr>
      <w:tr w14:paraId="0E3CD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2709B259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5580 1046 82</w:t>
            </w:r>
          </w:p>
        </w:tc>
        <w:tc>
          <w:tcPr>
            <w:tcW w:w="2295" w:type="dxa"/>
            <w:vAlign w:val="center"/>
          </w:tcPr>
          <w:p w14:paraId="3A0BB9BA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显示面板</w:t>
            </w:r>
          </w:p>
        </w:tc>
        <w:tc>
          <w:tcPr>
            <w:tcW w:w="1080" w:type="dxa"/>
            <w:vAlign w:val="center"/>
          </w:tcPr>
          <w:p w14:paraId="6EE0F3A7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套</w:t>
            </w:r>
          </w:p>
        </w:tc>
        <w:tc>
          <w:tcPr>
            <w:tcW w:w="1125" w:type="dxa"/>
            <w:vAlign w:val="center"/>
          </w:tcPr>
          <w:p w14:paraId="46F03AC3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090B36A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改造</w:t>
            </w:r>
          </w:p>
        </w:tc>
      </w:tr>
      <w:tr w14:paraId="1BE3B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4F7E1540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5580 8900 03</w:t>
            </w:r>
          </w:p>
        </w:tc>
        <w:tc>
          <w:tcPr>
            <w:tcW w:w="2295" w:type="dxa"/>
            <w:vAlign w:val="center"/>
          </w:tcPr>
          <w:p w14:paraId="330213AA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空调组件</w:t>
            </w:r>
          </w:p>
        </w:tc>
        <w:tc>
          <w:tcPr>
            <w:tcW w:w="1080" w:type="dxa"/>
            <w:vAlign w:val="center"/>
          </w:tcPr>
          <w:p w14:paraId="71B92B4F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套</w:t>
            </w:r>
          </w:p>
        </w:tc>
        <w:tc>
          <w:tcPr>
            <w:tcW w:w="1125" w:type="dxa"/>
            <w:vAlign w:val="center"/>
          </w:tcPr>
          <w:p w14:paraId="67BF6BA2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35912275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更换</w:t>
            </w:r>
          </w:p>
        </w:tc>
      </w:tr>
      <w:tr w14:paraId="3BA63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0B21E91E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295" w:type="dxa"/>
            <w:vAlign w:val="center"/>
          </w:tcPr>
          <w:p w14:paraId="2EF8E024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线束改造</w:t>
            </w:r>
          </w:p>
        </w:tc>
        <w:tc>
          <w:tcPr>
            <w:tcW w:w="1080" w:type="dxa"/>
            <w:vAlign w:val="center"/>
          </w:tcPr>
          <w:p w14:paraId="1CBBA06B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套</w:t>
            </w:r>
          </w:p>
        </w:tc>
        <w:tc>
          <w:tcPr>
            <w:tcW w:w="1125" w:type="dxa"/>
            <w:vAlign w:val="center"/>
          </w:tcPr>
          <w:p w14:paraId="6505EC7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2F4D1833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改造</w:t>
            </w:r>
          </w:p>
        </w:tc>
      </w:tr>
      <w:tr w14:paraId="47340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71E26CEE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295" w:type="dxa"/>
            <w:vAlign w:val="center"/>
          </w:tcPr>
          <w:p w14:paraId="1679E2B2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液压管路改造</w:t>
            </w:r>
          </w:p>
        </w:tc>
        <w:tc>
          <w:tcPr>
            <w:tcW w:w="1080" w:type="dxa"/>
            <w:vAlign w:val="center"/>
          </w:tcPr>
          <w:p w14:paraId="5CFA806F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套</w:t>
            </w:r>
          </w:p>
        </w:tc>
        <w:tc>
          <w:tcPr>
            <w:tcW w:w="1125" w:type="dxa"/>
            <w:vAlign w:val="center"/>
          </w:tcPr>
          <w:p w14:paraId="111DFDE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46A1C5F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改造</w:t>
            </w:r>
          </w:p>
        </w:tc>
      </w:tr>
      <w:tr w14:paraId="6F9C7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2" w:type="dxa"/>
            <w:vAlign w:val="center"/>
          </w:tcPr>
          <w:p w14:paraId="333D2D16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295" w:type="dxa"/>
            <w:vAlign w:val="center"/>
          </w:tcPr>
          <w:p w14:paraId="4CF76C79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lang w:bidi="ar"/>
              </w:rPr>
              <w:t>结构件改造</w:t>
            </w:r>
          </w:p>
        </w:tc>
        <w:tc>
          <w:tcPr>
            <w:tcW w:w="1080" w:type="dxa"/>
            <w:vAlign w:val="center"/>
          </w:tcPr>
          <w:p w14:paraId="4B0942BC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套</w:t>
            </w:r>
          </w:p>
        </w:tc>
        <w:tc>
          <w:tcPr>
            <w:tcW w:w="1125" w:type="dxa"/>
            <w:vAlign w:val="center"/>
          </w:tcPr>
          <w:p w14:paraId="3D520BE6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0F9F5C16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改造</w:t>
            </w:r>
          </w:p>
        </w:tc>
      </w:tr>
    </w:tbl>
    <w:p w14:paraId="5F88C41E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2.3 改造要求</w:t>
      </w:r>
    </w:p>
    <w:p w14:paraId="1CD89548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2.3.1 对改造设备的功能、技术和设备的可靠性、完整性、规范性总负责，即对设备的功能、设计、制造、设备质量、使用性能、试验、检验、包装、运输、指导安装、现场调试、</w:t>
      </w:r>
      <w:r>
        <w:rPr>
          <w:rFonts w:hint="eastAsia" w:ascii="Times New Roman" w:hAnsi="Times New Roman" w:eastAsia="宋体" w:cs="Times New Roman"/>
          <w:sz w:val="24"/>
        </w:rPr>
        <w:t>设备</w:t>
      </w:r>
      <w:r>
        <w:rPr>
          <w:rFonts w:ascii="Times New Roman" w:hAnsi="Times New Roman" w:eastAsia="宋体" w:cs="Times New Roman"/>
          <w:sz w:val="24"/>
        </w:rPr>
        <w:t>成功投运、人员培训、售后服务等总负责。</w:t>
      </w:r>
    </w:p>
    <w:p w14:paraId="3BE3B197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2.3.2 改造清单中未完全列出EST1030电动铲运机改造元件配置明细，改造时应以满足功能要求和矿方现场实际需求为准，可根据现场情况做灵活调整，原则上不得少于对改造清单所标位置的改造。</w:t>
      </w:r>
    </w:p>
    <w:p w14:paraId="2920BDCE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2.3.3 改造后设备必须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通过检测检验，并提供第三方检测报告</w:t>
      </w:r>
      <w:r>
        <w:rPr>
          <w:rFonts w:ascii="Times New Roman" w:hAnsi="Times New Roman" w:eastAsia="宋体" w:cs="Times New Roman"/>
          <w:sz w:val="24"/>
        </w:rPr>
        <w:t>，满足金属矿山井下使用要求。</w:t>
      </w:r>
    </w:p>
    <w:p w14:paraId="681E5A68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2.3.4 在质保期内，免费提供除易耗备件外正常使用损坏备件。</w:t>
      </w:r>
    </w:p>
    <w:p w14:paraId="6F7F2810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 xml:space="preserve">三、技术要求 </w:t>
      </w:r>
    </w:p>
    <w:p w14:paraId="7C30D74F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3.1 标准及规范</w:t>
      </w:r>
    </w:p>
    <w:p w14:paraId="78C0E84F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执行GB 25518-2010《地下铲运机 安全要求》；</w:t>
      </w:r>
    </w:p>
    <w:p w14:paraId="1B9D0D39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执行JB/T 5500-2015《地下铲运机》；</w:t>
      </w:r>
    </w:p>
    <w:p w14:paraId="7310F42F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执行JB/T 5501-2017《地下铲运机 试验方法》。</w:t>
      </w:r>
    </w:p>
    <w:p w14:paraId="6C749CEB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3.2 主要性能要求</w:t>
      </w:r>
    </w:p>
    <w:p w14:paraId="50B4C84C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3.2.1 设备能力需达到ST1030相关性能指标，铲运能力达到10000kg、机械铲取力达到17900kg等，即性能指标参数不低于ST1030基本指标参数要求。</w:t>
      </w:r>
    </w:p>
    <w:p w14:paraId="4274FF39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3.2.2 设备各工作动作时间需满足：大臂举升≤8.0s、大臂下降≤6.0s、铲斗倾倒≤2.1s。</w:t>
      </w:r>
    </w:p>
    <w:p w14:paraId="1D7011F7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3.2.3 发动机品牌/型号使用Cummins QSL9，满足国家第三阶段排放标准。发动机性能需达到以下要求：</w:t>
      </w:r>
    </w:p>
    <w:p w14:paraId="6F6DE58D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额定功率：2000 rpm   186  kW/250 hp</w:t>
      </w:r>
    </w:p>
    <w:p w14:paraId="660C5499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最大扭矩：1400 rpm   1085 Nm</w:t>
      </w:r>
    </w:p>
    <w:p w14:paraId="02164D86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3.2.4 变速箱品牌/型号使用Funk DF250系列，前进、后退各四档。</w:t>
      </w:r>
    </w:p>
    <w:p w14:paraId="2CA8BC49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3.2.5 增高箱（齿轮箱）尺寸大小与ST1030使用备件一致，速比保持1:1。</w:t>
      </w:r>
    </w:p>
    <w:p w14:paraId="604C159C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3.2.6 改造过程所涉及到的液压泵、阀，品牌须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与</w:t>
      </w:r>
      <w:r>
        <w:rPr>
          <w:rFonts w:ascii="Times New Roman" w:hAnsi="Times New Roman" w:eastAsia="宋体" w:cs="Times New Roman"/>
          <w:sz w:val="24"/>
        </w:rPr>
        <w:t>ST1030一致，使用力士乐、派克等国际知名品牌，保证后期备件与设备主机厂备件进行互换。</w:t>
      </w:r>
    </w:p>
    <w:p w14:paraId="61E5F163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 xml:space="preserve">3.2.7 </w:t>
      </w:r>
      <w:r>
        <w:rPr>
          <w:rFonts w:hint="eastAsia" w:ascii="Times New Roman" w:hAnsi="Times New Roman" w:eastAsia="宋体" w:cs="Times New Roman"/>
          <w:sz w:val="24"/>
        </w:rPr>
        <w:t>液压油</w:t>
      </w:r>
      <w:r>
        <w:rPr>
          <w:rFonts w:ascii="Times New Roman" w:hAnsi="Times New Roman" w:eastAsia="宋体" w:cs="Times New Roman"/>
          <w:sz w:val="24"/>
        </w:rPr>
        <w:t>散热器</w:t>
      </w:r>
      <w:r>
        <w:rPr>
          <w:rFonts w:hint="eastAsia" w:ascii="Times New Roman" w:hAnsi="Times New Roman" w:eastAsia="宋体" w:cs="Times New Roman"/>
          <w:sz w:val="24"/>
        </w:rPr>
        <w:t>散热性能、</w:t>
      </w:r>
      <w:r>
        <w:rPr>
          <w:rFonts w:ascii="Times New Roman" w:hAnsi="Times New Roman" w:eastAsia="宋体" w:cs="Times New Roman"/>
          <w:sz w:val="24"/>
        </w:rPr>
        <w:t>规格、技术参数、安装位置等全部按照ST1030样式进行改造。</w:t>
      </w:r>
    </w:p>
    <w:p w14:paraId="4D6A5C7F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3.2.8 改造过程所涉及到的液压管路、燃油管路等全部使用国际知名品牌，如：盖茨、玛努利等，管路需全部符合煤安认证。</w:t>
      </w:r>
    </w:p>
    <w:p w14:paraId="046B65CF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3.2.9 发动机进排气所涉及管路规格、尾气净化装置选用国际知名品牌，如ECS、CATALYTIC</w:t>
      </w:r>
      <w:r>
        <w:rPr>
          <w:rFonts w:hint="eastAsia" w:ascii="Times New Roman" w:hAnsi="Times New Roman" w:eastAsia="宋体" w:cs="Times New Roman"/>
          <w:sz w:val="24"/>
        </w:rPr>
        <w:t>，性能要求达到S</w:t>
      </w:r>
      <w:r>
        <w:rPr>
          <w:rFonts w:ascii="Times New Roman" w:hAnsi="Times New Roman" w:eastAsia="宋体" w:cs="Times New Roman"/>
          <w:sz w:val="24"/>
        </w:rPr>
        <w:t>T1030</w:t>
      </w:r>
      <w:r>
        <w:rPr>
          <w:rFonts w:hint="eastAsia" w:ascii="Times New Roman" w:hAnsi="Times New Roman" w:eastAsia="宋体" w:cs="Times New Roman"/>
          <w:sz w:val="24"/>
        </w:rPr>
        <w:t>标准。</w:t>
      </w:r>
    </w:p>
    <w:p w14:paraId="272D585E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3.2.10 发动机散热器选用可拆卸无缝铜翅片管型散热器，</w:t>
      </w:r>
      <w:r>
        <w:rPr>
          <w:rFonts w:hint="eastAsia" w:ascii="Times New Roman" w:hAnsi="Times New Roman" w:eastAsia="宋体" w:cs="Times New Roman"/>
          <w:sz w:val="24"/>
        </w:rPr>
        <w:t>散热能力、规格、技术参数</w:t>
      </w:r>
      <w:r>
        <w:rPr>
          <w:rFonts w:ascii="Times New Roman" w:hAnsi="Times New Roman" w:eastAsia="宋体" w:cs="Times New Roman"/>
          <w:sz w:val="24"/>
        </w:rPr>
        <w:t>需与ST1030保持一致。</w:t>
      </w:r>
    </w:p>
    <w:p w14:paraId="11A3E166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3.2.11 改造过程所涉及到的整车线束、仪表盒、配电盒等全部按照ST1030设备进行制作，PLC控制器控制逻辑需与ST1030保持一致。</w:t>
      </w:r>
    </w:p>
    <w:p w14:paraId="570AB1F6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3.2.12 改造过程中对空调进行改造，相关备件布局等按照ST1030样式进行。</w:t>
      </w:r>
    </w:p>
    <w:p w14:paraId="505A1524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3.2.13 动力车架、燃油箱、托架等改造过程所涉及到的结构件，采用低合金、高强度钢制作，CO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气体保护焊接。</w:t>
      </w:r>
    </w:p>
    <w:p w14:paraId="2AE9D9B3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3.2.14 设备改造需符合金属矿山矿用产品安全有关规定，改造后需取得矿安认证。</w:t>
      </w:r>
    </w:p>
    <w:p w14:paraId="685176C6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四、质量及验收</w:t>
      </w:r>
    </w:p>
    <w:p w14:paraId="18468677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4.1 改造过程设计、制造及配备的相关系统应满足3.2条款要求。</w:t>
      </w:r>
    </w:p>
    <w:p w14:paraId="64A1325C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4.2 改造设备选用的材料应为能满足使用条件的优质材料，零部件的选择应以技术先进、成熟可靠、安全耐用为基本原则。严禁采用中国国家标准及欧洲标准公布的淘汰产品。</w:t>
      </w:r>
    </w:p>
    <w:p w14:paraId="1715D6EE">
      <w:pPr>
        <w:spacing w:line="360" w:lineRule="auto"/>
        <w:rPr>
          <w:rFonts w:ascii="Times New Roman" w:hAnsi="Times New Roman" w:eastAsia="宋体" w:cs="Times New Roman"/>
          <w:color w:val="auto"/>
          <w:sz w:val="24"/>
        </w:rPr>
      </w:pPr>
      <w:r>
        <w:rPr>
          <w:rFonts w:ascii="Times New Roman" w:hAnsi="Times New Roman" w:eastAsia="宋体" w:cs="Times New Roman"/>
          <w:sz w:val="24"/>
        </w:rPr>
        <w:t xml:space="preserve">4.3 </w:t>
      </w:r>
      <w:r>
        <w:rPr>
          <w:rFonts w:ascii="Times New Roman" w:hAnsi="Times New Roman" w:eastAsia="宋体" w:cs="Times New Roman"/>
          <w:color w:val="auto"/>
          <w:sz w:val="24"/>
        </w:rPr>
        <w:t>提供</w:t>
      </w:r>
      <w:r>
        <w:rPr>
          <w:rFonts w:hint="eastAsia" w:ascii="Times New Roman" w:hAnsi="Times New Roman" w:eastAsia="宋体" w:cs="Times New Roman"/>
          <w:color w:val="auto"/>
          <w:sz w:val="24"/>
          <w:lang w:val="en-US" w:eastAsia="zh-CN"/>
        </w:rPr>
        <w:t>柴油发动机、燃油箱总成</w:t>
      </w:r>
      <w:r>
        <w:rPr>
          <w:rFonts w:ascii="Times New Roman" w:hAnsi="Times New Roman" w:eastAsia="宋体" w:cs="Times New Roman"/>
          <w:color w:val="auto"/>
          <w:sz w:val="24"/>
        </w:rPr>
        <w:t>的合格证。</w:t>
      </w:r>
    </w:p>
    <w:p w14:paraId="3BE32454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4.4 验收</w:t>
      </w:r>
    </w:p>
    <w:p w14:paraId="13F58961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验收标准为合同规定的要求，以及国家标准、相关标准和规范。</w:t>
      </w:r>
    </w:p>
    <w:p w14:paraId="4DA40011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4.5 整机质量担保</w:t>
      </w:r>
    </w:p>
    <w:p w14:paraId="27A35E00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</w:rPr>
        <w:t>改造后整机质量担保期限为12个月或2000小时。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ViY2JkMjU3NGYzZTEwMzZmMGFkZWViYmNkYWU3NDIifQ=="/>
  </w:docVars>
  <w:rsids>
    <w:rsidRoot w:val="00AD3EB0"/>
    <w:rsid w:val="000C033A"/>
    <w:rsid w:val="002529F9"/>
    <w:rsid w:val="00675A79"/>
    <w:rsid w:val="00A4487C"/>
    <w:rsid w:val="00A61130"/>
    <w:rsid w:val="00AD3EB0"/>
    <w:rsid w:val="00C50CB6"/>
    <w:rsid w:val="02CE0C1E"/>
    <w:rsid w:val="25B8360C"/>
    <w:rsid w:val="2A1523A4"/>
    <w:rsid w:val="2D792E9C"/>
    <w:rsid w:val="3C1411A1"/>
    <w:rsid w:val="50D52DC9"/>
    <w:rsid w:val="554A26AF"/>
    <w:rsid w:val="5BFC2307"/>
    <w:rsid w:val="5DDB6408"/>
    <w:rsid w:val="64EA04D3"/>
    <w:rsid w:val="74E9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ascii="Times New Roman" w:hAnsi="Times New Roman" w:eastAsia="宋体" w:cs="Times New Roman"/>
      <w:szCs w:val="2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1611</Words>
  <Characters>2074</Characters>
  <Lines>16</Lines>
  <Paragraphs>4</Paragraphs>
  <TotalTime>15</TotalTime>
  <ScaleCrop>false</ScaleCrop>
  <LinksUpToDate>false</LinksUpToDate>
  <CharactersWithSpaces>2166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2023-07-08T02:05:00Z</dcterms:created>
  <dc:creator>聂顺</dc:creator>
  <cp:lastModifiedBy>秃驴帮主</cp:lastModifiedBy>
  <dcterms:modified xsi:type="dcterms:W3CDTF">2026-03-02T10:19:44Z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714235BC632A4DFAB866319D1F77B672_12</vt:lpwstr>
  </property>
  <property fmtid="{D5CDD505-2E9C-101B-9397-08002B2CF9AE}" pid="4" name="KSOTemplateDocerSaveRecord">
    <vt:lpwstr>eyJoZGlkIjoiMTg3YzdhNGRhODFiOTA2ODIxMDc5MzcxY2NiZmU3ODUiLCJ1c2VySWQiOiIyMzgxOTg0MDYifQ==</vt:lpwstr>
  </property>
</Properties>
</file>